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bookmarkStart w:id="0" w:name="_Toc456101415"/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一、资质要求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施工方必须具备资质：工商营业执照、税务登记证、组织机构代码证。或者是三证合一。特种设备安装改造维修许可证。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 xml:space="preserve">二、项目内容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制剂中心燃气蒸汽锅炉（二台）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三、维保明细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1、清洗锅炉本体及检测、维护；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2、检查燃烧器的喷头组合及点火系统：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3、清洗燃烧器电磁阀及火焰检测部件：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4、检查燃烧机风机风门系统：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5、调整燃烧机火焰，达到最佳燃烧效果：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6、检查锅炉仪表及现场测量传感器、压力控制器：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7、电器电源的绝缘检查：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8、控制系统的检查及维护；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9、仪表阀门等设备的检修及检测：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10、检测锅炉燃烧机的正常报警功能：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11、锅炉年检及培训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12、压力表及安全阀在荆州质监局进行报检和校验，取得荆州质监局出具的压力表及安全阀合格证明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13、水泵的清洗及检测；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14、检测报警器的正常报警功能；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15、水处理设备清洗及维护；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16、管道的维修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17、取得荆州质监局颁发合格的蒸汽锅炉年检报告。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 xml:space="preserve">四、服务提供方式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要求全年365天每天24小时提供专业维修保养服务，保证锅炉正常安全运行，故障通知后30分钟内维修人员赶到现场，处理故障，短期内恢复锅炉运行。保证当年度质量技术监督部门年检合格。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 xml:space="preserve">五、资源配置要求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 xml:space="preserve">1、为保证锅炉设备维保工作的正常开展，维保公司储备锅炉相关所需原辅料、零配件材料用品等。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2、维保公司配置的仪器设备、零配件材料用品须符合国家相关标准（原则上要求应原厂配件）。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 xml:space="preserve">六、服务质量要求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1、现场维保期间，维保公司安排到荆州市中医医院的维保技术人员须持证上岗，遵照国家相关法规、 医院规章制度和工作时间。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  <w:r>
        <w:rPr>
          <w:rFonts w:hint="eastAsia" w:ascii="宋体" w:hAnsi="宋体"/>
          <w:sz w:val="24"/>
          <w:u w:val="none"/>
          <w:lang w:eastAsia="zh-CN"/>
        </w:rPr>
        <w:t>2、现场维保结束后当日，维保公司须认真做好锅炉维护保养作业记录、填写《锅炉维护保养作业记录》。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A3221BE"/>
    <w:rsid w:val="1BE634C9"/>
    <w:rsid w:val="1CB94805"/>
    <w:rsid w:val="1DD4755B"/>
    <w:rsid w:val="205366DA"/>
    <w:rsid w:val="20AA1B56"/>
    <w:rsid w:val="21662A18"/>
    <w:rsid w:val="250825DF"/>
    <w:rsid w:val="28486D84"/>
    <w:rsid w:val="292C1377"/>
    <w:rsid w:val="2A051E27"/>
    <w:rsid w:val="2A5D6D82"/>
    <w:rsid w:val="2B445ED5"/>
    <w:rsid w:val="2B571037"/>
    <w:rsid w:val="2F733D37"/>
    <w:rsid w:val="329577CD"/>
    <w:rsid w:val="3AEC46E5"/>
    <w:rsid w:val="3B9F6245"/>
    <w:rsid w:val="43AD6D6B"/>
    <w:rsid w:val="4C74075C"/>
    <w:rsid w:val="531203CC"/>
    <w:rsid w:val="53A01589"/>
    <w:rsid w:val="592A3E91"/>
    <w:rsid w:val="5E9B094F"/>
    <w:rsid w:val="68FE228D"/>
    <w:rsid w:val="69835AA6"/>
    <w:rsid w:val="6D535020"/>
    <w:rsid w:val="70980FB3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2021-08-20T01:31:35Z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3F79511DEAC2409694E28351AFFE18B3</vt:lpwstr>
  </property>
</Properties>
</file>