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rPr>
          <w:rFonts w:hint="default"/>
          <w:b/>
          <w:bCs/>
          <w:sz w:val="30"/>
          <w:szCs w:val="30"/>
          <w:lang w:val="en-US" w:eastAsia="zh-CN"/>
        </w:rPr>
      </w:pPr>
      <w:r>
        <w:rPr>
          <w:rFonts w:hint="eastAsia"/>
          <w:b/>
          <w:bCs/>
          <w:sz w:val="30"/>
          <w:szCs w:val="30"/>
          <w:lang w:val="en-US" w:eastAsia="zh-CN"/>
        </w:rPr>
        <w:t>一、项目概况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lang w:val="en-US" w:eastAsia="zh-CN"/>
        </w:rPr>
      </w:pPr>
      <w:r>
        <w:rPr>
          <w:rFonts w:hint="eastAsia"/>
          <w:sz w:val="28"/>
          <w:szCs w:val="28"/>
          <w:lang w:val="en-US" w:eastAsia="zh-CN"/>
        </w:rPr>
        <w:t>建设地点：荆州市沙市区毛家坊69号（需自行查看现场，充分考虑现场情况）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lang w:val="en-US" w:eastAsia="zh-CN"/>
        </w:rPr>
      </w:pPr>
      <w:r>
        <w:rPr>
          <w:rFonts w:hint="eastAsia"/>
          <w:sz w:val="28"/>
          <w:szCs w:val="28"/>
          <w:lang w:val="en-US" w:eastAsia="zh-CN"/>
        </w:rPr>
        <w:t>建设规模：毛家坊社区卫生服务中心楼外加装电梯工程建设面积44.7㎡，占地面积14.9㎡，建筑高度12.95m，三层三站，砖混结构。建设内容包含电梯井土建施工、电梯采购安装施工、周边道路及下水围墙改造施工、室内房间区域改造施工。</w:t>
      </w:r>
    </w:p>
    <w:p>
      <w:pPr>
        <w:keepNext w:val="0"/>
        <w:keepLines w:val="0"/>
        <w:pageBreakBefore w:val="0"/>
        <w:widowControl w:val="0"/>
        <w:kinsoku/>
        <w:wordWrap/>
        <w:overflowPunct/>
        <w:topLinePunct w:val="0"/>
        <w:autoSpaceDE/>
        <w:autoSpaceDN/>
        <w:bidi w:val="0"/>
        <w:spacing w:line="360" w:lineRule="auto"/>
        <w:textAlignment w:val="auto"/>
        <w:rPr>
          <w:rFonts w:hint="eastAsia"/>
          <w:sz w:val="28"/>
          <w:szCs w:val="28"/>
          <w:lang w:val="en-US" w:eastAsia="zh-CN"/>
        </w:rPr>
      </w:pPr>
      <w:r>
        <w:rPr>
          <w:rFonts w:hint="eastAsia"/>
          <w:sz w:val="28"/>
          <w:szCs w:val="28"/>
          <w:lang w:val="en-US" w:eastAsia="zh-CN"/>
        </w:rPr>
        <w:t>工程预算总投资约60万元（含土建+电梯安装）。</w:t>
      </w:r>
    </w:p>
    <w:p>
      <w:pPr>
        <w:keepNext w:val="0"/>
        <w:keepLines w:val="0"/>
        <w:pageBreakBefore w:val="0"/>
        <w:widowControl w:val="0"/>
        <w:kinsoku/>
        <w:wordWrap/>
        <w:overflowPunct/>
        <w:topLinePunct w:val="0"/>
        <w:autoSpaceDE/>
        <w:autoSpaceDN/>
        <w:bidi w:val="0"/>
        <w:spacing w:line="360" w:lineRule="auto"/>
        <w:textAlignment w:val="auto"/>
        <w:rPr>
          <w:rFonts w:hint="eastAsia"/>
          <w:b/>
          <w:bCs/>
          <w:sz w:val="30"/>
          <w:szCs w:val="30"/>
          <w:lang w:val="en-US" w:eastAsia="zh-CN"/>
        </w:rPr>
      </w:pPr>
      <w:r>
        <w:rPr>
          <w:rFonts w:hint="eastAsia"/>
          <w:sz w:val="30"/>
          <w:szCs w:val="30"/>
          <w:lang w:val="en-US" w:eastAsia="zh-CN"/>
        </w:rPr>
        <w:t>二、</w:t>
      </w:r>
      <w:r>
        <w:rPr>
          <w:rFonts w:hint="eastAsia"/>
          <w:b/>
          <w:bCs/>
          <w:sz w:val="30"/>
          <w:szCs w:val="30"/>
          <w:lang w:val="en-US" w:eastAsia="zh-CN"/>
        </w:rPr>
        <w:t>招标内容：</w:t>
      </w:r>
      <w:bookmarkStart w:id="2" w:name="_GoBack"/>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lang w:val="en-US" w:eastAsia="zh-CN"/>
        </w:rPr>
      </w:pPr>
      <w:r>
        <w:rPr>
          <w:rFonts w:hint="eastAsia"/>
          <w:sz w:val="28"/>
          <w:szCs w:val="28"/>
          <w:lang w:val="en-US" w:eastAsia="zh-CN"/>
        </w:rPr>
        <w:t>监理服务内容包含毛家坊社区卫生服务中心电梯井土建施工、电梯采购安装施工、周边道路及下水围墙改造施工、室内房间区域改造施工等施工阶段、竣工验收阶段以及保修期阶段等监理服务。</w:t>
      </w:r>
    </w:p>
    <w:p>
      <w:pPr>
        <w:rPr>
          <w:rFonts w:hint="eastAsia"/>
          <w:b/>
          <w:bCs/>
          <w:sz w:val="30"/>
          <w:szCs w:val="30"/>
        </w:rPr>
      </w:pPr>
      <w:r>
        <w:rPr>
          <w:rFonts w:hint="eastAsia"/>
          <w:b/>
          <w:bCs/>
          <w:sz w:val="30"/>
          <w:szCs w:val="30"/>
          <w:lang w:val="en-US" w:eastAsia="zh-CN"/>
        </w:rPr>
        <w:t>三</w:t>
      </w:r>
      <w:r>
        <w:rPr>
          <w:rFonts w:hint="eastAsia"/>
          <w:b/>
          <w:bCs/>
          <w:sz w:val="30"/>
          <w:szCs w:val="30"/>
        </w:rPr>
        <w:t>、资质要求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Times New Roman" w:hAnsi="Times New Roman" w:cs="Times New Roman"/>
          <w:sz w:val="28"/>
          <w:szCs w:val="28"/>
          <w:lang w:eastAsia="zh-CN"/>
        </w:rPr>
      </w:pPr>
      <w:r>
        <w:rPr>
          <w:rFonts w:hint="eastAsia"/>
          <w:sz w:val="28"/>
          <w:szCs w:val="28"/>
          <w:lang w:val="en-US" w:eastAsia="zh-CN"/>
        </w:rPr>
        <w:t>1.</w:t>
      </w:r>
      <w:r>
        <w:rPr>
          <w:rFonts w:hint="eastAsia"/>
          <w:sz w:val="28"/>
          <w:szCs w:val="28"/>
        </w:rPr>
        <w:t>必</w:t>
      </w:r>
      <w:r>
        <w:rPr>
          <w:rFonts w:hint="eastAsia" w:ascii="Times New Roman" w:hAnsi="Times New Roman" w:cs="Times New Roman"/>
          <w:sz w:val="28"/>
          <w:szCs w:val="28"/>
          <w:lang w:eastAsia="zh-CN"/>
        </w:rPr>
        <w:t>须具有</w:t>
      </w:r>
      <w:r>
        <w:rPr>
          <w:rFonts w:hint="eastAsia" w:ascii="Times New Roman" w:hAnsi="Times New Roman" w:cs="Times New Roman"/>
          <w:sz w:val="28"/>
          <w:szCs w:val="28"/>
          <w:lang w:val="en-US" w:eastAsia="zh-CN"/>
        </w:rPr>
        <w:t>须提供公司营业执照、组织机构代码证、税务登记证或“三证合一”的营业执照复印件。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2必须具有建设行政主管部门颁发的工程监理综合资质或房屋建筑工程监理乙级及以上资质；并在人员、设备、资金等方面具有相应能力。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eastAsia="宋体"/>
          <w:sz w:val="28"/>
          <w:szCs w:val="28"/>
          <w:lang w:val="en-US"/>
        </w:rPr>
      </w:pPr>
      <w:r>
        <w:rPr>
          <w:rFonts w:hint="eastAsia" w:eastAsia="宋体"/>
          <w:sz w:val="28"/>
          <w:szCs w:val="28"/>
          <w:lang w:val="en-US" w:eastAsia="zh-CN"/>
        </w:rPr>
        <w:t>3</w:t>
      </w:r>
      <w:r>
        <w:rPr>
          <w:rFonts w:hint="eastAsia" w:eastAsia="宋体"/>
          <w:sz w:val="28"/>
          <w:szCs w:val="28"/>
        </w:rPr>
        <w:t>须未被列入”信用中国”网站(www.creditchina.gov.cn)失信被执行人、重大税收违法案件当事人和“中国政府采购”网站（</w:t>
      </w:r>
      <w:bookmarkStart w:id="0" w:name="OLE_LINK9"/>
      <w:r>
        <w:rPr>
          <w:rFonts w:hint="eastAsia" w:eastAsia="宋体"/>
          <w:sz w:val="28"/>
          <w:szCs w:val="28"/>
        </w:rPr>
        <w:t>www. ccgp.gov.cn</w:t>
      </w:r>
      <w:bookmarkEnd w:id="0"/>
      <w:r>
        <w:rPr>
          <w:rFonts w:hint="eastAsia" w:eastAsia="宋体"/>
          <w:sz w:val="28"/>
          <w:szCs w:val="28"/>
        </w:rPr>
        <w:t>）政府采购严重违法失信行为记录名单</w:t>
      </w:r>
      <w:r>
        <w:rPr>
          <w:rFonts w:hint="eastAsia" w:eastAsia="宋体"/>
          <w:sz w:val="28"/>
          <w:szCs w:val="28"/>
          <w:lang w:eastAsia="zh-CN"/>
        </w:rPr>
        <w:t>（提供报名期间网站截图）。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4投标人拟派总监理工程师须具备房屋建筑工程专业注册监理工程师注册执业证书，在本单位注册</w:t>
      </w:r>
      <w:r>
        <w:rPr>
          <w:rFonts w:hint="eastAsia" w:eastAsia="宋体"/>
          <w:sz w:val="28"/>
          <w:szCs w:val="28"/>
          <w:lang w:eastAsia="zh-CN"/>
        </w:rPr>
        <w:t>（提供监理</w:t>
      </w:r>
      <w:r>
        <w:rPr>
          <w:rFonts w:hint="eastAsia" w:eastAsia="宋体"/>
          <w:sz w:val="28"/>
          <w:szCs w:val="28"/>
          <w:lang w:val="en-US" w:eastAsia="zh-CN"/>
        </w:rPr>
        <w:t>注册执业证</w:t>
      </w:r>
      <w:r>
        <w:rPr>
          <w:rFonts w:hint="eastAsia" w:eastAsia="宋体"/>
          <w:sz w:val="28"/>
          <w:szCs w:val="28"/>
          <w:lang w:eastAsia="zh-CN"/>
        </w:rPr>
        <w:t>复印件），具有相关从业经验。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eastAsia="zh-CN"/>
        </w:rPr>
      </w:pPr>
      <w:r>
        <w:rPr>
          <w:rFonts w:hint="eastAsia" w:eastAsia="宋体"/>
          <w:sz w:val="28"/>
          <w:szCs w:val="28"/>
          <w:lang w:val="en-US" w:eastAsia="zh-CN"/>
        </w:rPr>
        <w:t>5、投标人2018年10月至今</w:t>
      </w:r>
      <w:r>
        <w:rPr>
          <w:rFonts w:hint="eastAsia" w:eastAsia="宋体"/>
          <w:sz w:val="28"/>
          <w:szCs w:val="28"/>
        </w:rPr>
        <w:t xml:space="preserve">以来完成过类似项目监理业绩不少于 </w:t>
      </w:r>
      <w:r>
        <w:rPr>
          <w:rFonts w:hint="eastAsia" w:eastAsia="宋体"/>
          <w:sz w:val="28"/>
          <w:szCs w:val="28"/>
          <w:lang w:val="en-US" w:eastAsia="zh-CN"/>
        </w:rPr>
        <w:t>3</w:t>
      </w:r>
      <w:r>
        <w:rPr>
          <w:rFonts w:hint="eastAsia" w:eastAsia="宋体"/>
          <w:sz w:val="28"/>
          <w:szCs w:val="28"/>
        </w:rPr>
        <w:t xml:space="preserve"> 个；</w:t>
      </w:r>
      <w:r>
        <w:rPr>
          <w:rFonts w:hint="eastAsia" w:eastAsia="宋体"/>
          <w:sz w:val="28"/>
          <w:szCs w:val="28"/>
          <w:lang w:eastAsia="zh-CN"/>
        </w:rPr>
        <w:t>提供相关业绩证明（合同复印件或中标通知书复印件）。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6、本项目不接受联合体投标。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7、投标人提供本项目的监理工作方案一套。</w:t>
      </w:r>
    </w:p>
    <w:p>
      <w:pPr>
        <w:keepNext w:val="0"/>
        <w:keepLines w:val="0"/>
        <w:pageBreakBefore w:val="0"/>
        <w:widowControl w:val="0"/>
        <w:kinsoku/>
        <w:wordWrap/>
        <w:overflowPunct/>
        <w:topLinePunct w:val="0"/>
        <w:autoSpaceDE/>
        <w:autoSpaceDN/>
        <w:bidi w:val="0"/>
        <w:spacing w:line="360" w:lineRule="auto"/>
        <w:textAlignment w:val="auto"/>
        <w:rPr>
          <w:rFonts w:hint="eastAsia"/>
          <w:b/>
          <w:bCs/>
          <w:sz w:val="30"/>
          <w:szCs w:val="30"/>
          <w:lang w:val="en-US" w:eastAsia="zh-CN"/>
        </w:rPr>
      </w:pPr>
      <w:r>
        <w:rPr>
          <w:rFonts w:hint="eastAsia"/>
          <w:b/>
          <w:bCs/>
          <w:sz w:val="30"/>
          <w:szCs w:val="30"/>
          <w:lang w:val="en-US" w:eastAsia="zh-CN"/>
        </w:rPr>
        <w:t>四、监理服务要求：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1、该工程监理服务范围涵盖桩基工程，整板基础工程，框架工程，砌筑工程、改造工程，水电工程、内外装饰工程、电梯采购与安装工程等，涵盖范围广，现场施工制作复杂，施工难度高。监理服务工作期限不低于3个月，要求监理现场坐班制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2、监理应提交完善的施工过程记录；每日实记监理日记；编制监理实施细则；参加图审会议；召开监理会；参加工程分部分项以及竣工验收；参与竣工结算审计等。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3、监理人员必须为正规监理公司工作人员，具备监理工程师证。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4、开具符合国家税务机关规定的合格的税务发票结账。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5、建设单位提供办公室一间，办公桌椅一套，电脑、打印机、生活食宿等由中标人自理。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sz w:val="30"/>
          <w:szCs w:val="30"/>
        </w:rPr>
      </w:pPr>
      <w:r>
        <w:rPr>
          <w:rFonts w:hint="eastAsia"/>
          <w:b/>
          <w:bCs/>
          <w:sz w:val="30"/>
          <w:szCs w:val="30"/>
          <w:lang w:val="en-US" w:eastAsia="zh-CN"/>
        </w:rPr>
        <w:t>五、</w:t>
      </w:r>
      <w:r>
        <w:rPr>
          <w:rFonts w:hint="eastAsia"/>
          <w:b/>
          <w:bCs/>
          <w:sz w:val="30"/>
          <w:szCs w:val="30"/>
          <w:lang w:eastAsia="zh-CN"/>
        </w:rPr>
        <w:t>监理服务期限：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暂计90 日历天。实际开工日期见院方通知。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关于监理服务期计算的约定：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由于人力不可抗拒的自然灾害和社会政治事件，使得施工阶段的实际监理服务期超出合同监理服务期时，监理人不应拒绝，委托人不另支付费用。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由于施工承包人资料未及时整理和扫尾工作期过长而导致完工验收推迟，使得施工阶段的实际监理服务期延长，监理人不应拒绝，委托人不另支付费用。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春节长假，监理人员离场期间，不计入合同服务期范围。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r>
        <w:rPr>
          <w:rFonts w:hint="eastAsia" w:eastAsia="宋体"/>
          <w:sz w:val="28"/>
          <w:szCs w:val="28"/>
          <w:lang w:val="en-US" w:eastAsia="zh-CN"/>
        </w:rPr>
        <w:t>如工程非监理人原因延期竣工不计取延时服务监理酬金。</w:t>
      </w:r>
    </w:p>
    <w:p>
      <w:pPr>
        <w:keepNext w:val="0"/>
        <w:keepLines w:val="0"/>
        <w:pageBreakBefore w:val="0"/>
        <w:widowControl w:val="0"/>
        <w:kinsoku/>
        <w:wordWrap/>
        <w:overflowPunct/>
        <w:topLinePunct w:val="0"/>
        <w:autoSpaceDE/>
        <w:autoSpaceDN/>
        <w:bidi w:val="0"/>
        <w:spacing w:line="360" w:lineRule="auto"/>
        <w:textAlignment w:val="auto"/>
        <w:rPr>
          <w:rFonts w:hint="eastAsia" w:eastAsiaTheme="minorEastAsia"/>
          <w:sz w:val="30"/>
          <w:szCs w:val="30"/>
          <w:lang w:eastAsia="zh-CN"/>
        </w:rPr>
      </w:pPr>
      <w:r>
        <w:rPr>
          <w:rFonts w:hint="eastAsia"/>
          <w:b/>
          <w:bCs/>
          <w:sz w:val="30"/>
          <w:szCs w:val="30"/>
          <w:lang w:val="en-US" w:eastAsia="zh-CN"/>
        </w:rPr>
        <w:t>六、</w:t>
      </w:r>
      <w:r>
        <w:rPr>
          <w:rFonts w:hint="eastAsia"/>
          <w:b/>
          <w:bCs/>
          <w:sz w:val="30"/>
          <w:szCs w:val="30"/>
          <w:lang w:eastAsia="zh-CN"/>
        </w:rPr>
        <w:t>质量监控目标</w:t>
      </w:r>
      <w:r>
        <w:rPr>
          <w:rFonts w:hint="eastAsia"/>
          <w:sz w:val="30"/>
          <w:szCs w:val="30"/>
        </w:rPr>
        <w:t>：合格</w:t>
      </w:r>
      <w:r>
        <w:rPr>
          <w:rFonts w:hint="eastAsia"/>
          <w:sz w:val="30"/>
          <w:szCs w:val="30"/>
          <w:lang w:eastAsia="zh-CN"/>
        </w:rPr>
        <w:t>。</w:t>
      </w:r>
    </w:p>
    <w:p>
      <w:pPr>
        <w:keepNext w:val="0"/>
        <w:keepLines w:val="0"/>
        <w:pageBreakBefore w:val="0"/>
        <w:widowControl w:val="0"/>
        <w:kinsoku/>
        <w:wordWrap/>
        <w:overflowPunct/>
        <w:topLinePunct w:val="0"/>
        <w:autoSpaceDE/>
        <w:autoSpaceDN/>
        <w:bidi w:val="0"/>
        <w:spacing w:line="360" w:lineRule="auto"/>
        <w:textAlignment w:val="auto"/>
        <w:rPr>
          <w:rFonts w:hint="eastAsia"/>
          <w:sz w:val="30"/>
          <w:szCs w:val="30"/>
          <w:lang w:eastAsia="zh-CN"/>
        </w:rPr>
      </w:pPr>
      <w:r>
        <w:rPr>
          <w:rFonts w:hint="eastAsia"/>
          <w:b/>
          <w:bCs/>
          <w:sz w:val="30"/>
          <w:szCs w:val="30"/>
          <w:lang w:val="en-US" w:eastAsia="zh-CN"/>
        </w:rPr>
        <w:t>七、付款方式：</w:t>
      </w:r>
      <w:r>
        <w:rPr>
          <w:rFonts w:hint="eastAsia"/>
          <w:sz w:val="30"/>
          <w:szCs w:val="30"/>
          <w:lang w:eastAsia="zh-CN"/>
        </w:rPr>
        <w:t>施工合同及付款方式待中标后与院方具体协商约定。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eastAsia="宋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eastAsia="宋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eastAsia="宋体"/>
          <w:sz w:val="28"/>
          <w:szCs w:val="28"/>
          <w:lang w:val="en-US" w:eastAsia="zh-CN"/>
        </w:rPr>
      </w:pPr>
    </w:p>
    <w:p>
      <w:pPr>
        <w:rPr>
          <w:rFonts w:hint="eastAsia"/>
          <w:sz w:val="32"/>
        </w:rPr>
      </w:pPr>
      <w:bookmarkStart w:id="1" w:name="_Toc456101415"/>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1"/>
    <w:p>
      <w:pPr>
        <w:rPr>
          <w:rFonts w:hint="eastAsia" w:ascii="宋体" w:hAnsi="宋体"/>
          <w:b/>
          <w:sz w:val="32"/>
          <w:szCs w:val="32"/>
        </w:rPr>
      </w:pPr>
      <w:r>
        <w:rPr>
          <w:rFonts w:hint="eastAsia"/>
          <w:sz w:val="32"/>
          <w:szCs w:val="32"/>
          <w:lang w:val="en-US" w:eastAsia="zh-CN"/>
        </w:rPr>
        <w:t>八</w:t>
      </w:r>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val="en-US" w:eastAsia="zh-CN"/>
        </w:rPr>
        <w:t>九</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075"/>
        <w:gridCol w:w="2760"/>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3075"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val="en-US" w:eastAsia="zh-CN"/>
              </w:rPr>
              <w:t>项目</w:t>
            </w:r>
            <w:r>
              <w:rPr>
                <w:rFonts w:hint="eastAsia" w:asciiTheme="minorEastAsia" w:hAnsiTheme="minorEastAsia" w:eastAsiaTheme="minorEastAsia" w:cstheme="minorEastAsia"/>
                <w:sz w:val="30"/>
                <w:szCs w:val="30"/>
              </w:rPr>
              <w:t>名称</w:t>
            </w:r>
          </w:p>
        </w:tc>
        <w:tc>
          <w:tcPr>
            <w:tcW w:w="2760"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w:t>
            </w:r>
          </w:p>
          <w:p>
            <w:pPr>
              <w:tabs>
                <w:tab w:val="left" w:pos="1290"/>
              </w:tabs>
              <w:spacing w:line="460" w:lineRule="exact"/>
              <w:jc w:val="center"/>
              <w:rPr>
                <w:rFonts w:hint="eastAsia" w:asciiTheme="minorEastAsia" w:hAnsiTheme="minorEastAsia" w:eastAsiaTheme="minorEastAsia" w:cstheme="minorEastAsia"/>
                <w:sz w:val="30"/>
                <w:szCs w:val="30"/>
                <w:lang w:eastAsia="zh-CN"/>
              </w:rPr>
            </w:pPr>
            <w:r>
              <w:rPr>
                <w:rFonts w:hint="eastAsia" w:asciiTheme="minorEastAsia" w:hAnsiTheme="minorEastAsia" w:cstheme="minorEastAsia"/>
                <w:sz w:val="30"/>
                <w:szCs w:val="30"/>
                <w:lang w:eastAsia="zh-CN"/>
              </w:rPr>
              <w:t>（监理投标费率）</w:t>
            </w:r>
          </w:p>
        </w:tc>
        <w:tc>
          <w:tcPr>
            <w:tcW w:w="2028"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3075"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2760"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2028"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3075" w:type="dxa"/>
            <w:vAlign w:val="center"/>
          </w:tcPr>
          <w:p>
            <w:pPr>
              <w:spacing w:line="360" w:lineRule="auto"/>
              <w:jc w:val="center"/>
              <w:rPr>
                <w:rFonts w:hint="eastAsia" w:asciiTheme="minorEastAsia" w:hAnsiTheme="minorEastAsia" w:eastAsiaTheme="minorEastAsia" w:cstheme="minorEastAsia"/>
                <w:sz w:val="30"/>
                <w:szCs w:val="30"/>
              </w:rPr>
            </w:pPr>
          </w:p>
        </w:tc>
        <w:tc>
          <w:tcPr>
            <w:tcW w:w="2760"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2028"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3075" w:type="dxa"/>
            <w:vAlign w:val="center"/>
          </w:tcPr>
          <w:p>
            <w:pPr>
              <w:spacing w:line="360" w:lineRule="auto"/>
              <w:jc w:val="center"/>
              <w:rPr>
                <w:rFonts w:hint="eastAsia" w:asciiTheme="minorEastAsia" w:hAnsiTheme="minorEastAsia" w:eastAsiaTheme="minorEastAsia" w:cstheme="minorEastAsia"/>
                <w:sz w:val="30"/>
                <w:szCs w:val="30"/>
              </w:rPr>
            </w:pPr>
          </w:p>
        </w:tc>
        <w:tc>
          <w:tcPr>
            <w:tcW w:w="2760"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2028"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5" w:type="dxa"/>
            <w:gridSpan w:val="3"/>
            <w:vAlign w:val="top"/>
          </w:tcPr>
          <w:p>
            <w:pPr>
              <w:tabs>
                <w:tab w:val="left" w:pos="1290"/>
              </w:tabs>
              <w:spacing w:line="460" w:lineRule="exact"/>
              <w:jc w:val="right"/>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w:t>
            </w:r>
            <w:r>
              <w:rPr>
                <w:rFonts w:hint="eastAsia" w:asciiTheme="minorEastAsia" w:hAnsiTheme="minorEastAsia" w:cstheme="minorEastAsia"/>
                <w:sz w:val="30"/>
                <w:szCs w:val="30"/>
                <w:lang w:eastAsia="zh-CN"/>
              </w:rPr>
              <w:t>监理费率</w:t>
            </w:r>
            <w:r>
              <w:rPr>
                <w:rFonts w:hint="eastAsia" w:asciiTheme="minorEastAsia" w:hAnsiTheme="minorEastAsia" w:eastAsiaTheme="minorEastAsia" w:cstheme="minorEastAsia"/>
                <w:sz w:val="30"/>
                <w:szCs w:val="30"/>
                <w:lang w:eastAsia="zh-CN"/>
              </w:rPr>
              <w:t>（小写）：</w:t>
            </w:r>
          </w:p>
        </w:tc>
        <w:tc>
          <w:tcPr>
            <w:tcW w:w="2028"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85" w:type="dxa"/>
            <w:gridSpan w:val="3"/>
            <w:vAlign w:val="top"/>
          </w:tcPr>
          <w:p>
            <w:pPr>
              <w:tabs>
                <w:tab w:val="left" w:pos="1290"/>
              </w:tabs>
              <w:spacing w:line="460" w:lineRule="exact"/>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2028"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w:t>
      </w:r>
      <w:r>
        <w:rPr>
          <w:rFonts w:hint="eastAsia" w:ascii="宋体" w:hAnsi="宋体"/>
          <w:sz w:val="24"/>
          <w:lang w:val="en-US" w:eastAsia="zh-CN"/>
        </w:rPr>
        <w:t>监理服务费=工程竣工结算金额*监理服务中标费率</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2021</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numPr>
          <w:ilvl w:val="0"/>
          <w:numId w:val="1"/>
        </w:numPr>
        <w:jc w:val="left"/>
        <w:rPr>
          <w:rFonts w:hint="eastAsia" w:ascii="宋体" w:hAnsi="宋体" w:cs="宋体"/>
          <w:b/>
          <w:bCs/>
          <w:sz w:val="32"/>
          <w:szCs w:val="32"/>
        </w:rPr>
      </w:pPr>
      <w:r>
        <w:rPr>
          <w:rFonts w:hint="eastAsia" w:ascii="宋体" w:hAnsi="宋体" w:cs="宋体"/>
          <w:b/>
          <w:bCs/>
          <w:sz w:val="32"/>
          <w:szCs w:val="32"/>
        </w:rPr>
        <w:t>营业执照副本复印件</w:t>
      </w: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0"/>
        </w:numPr>
        <w:jc w:val="left"/>
        <w:rPr>
          <w:rFonts w:hint="eastAsia" w:ascii="宋体" w:hAnsi="宋体" w:cs="宋体"/>
          <w:b/>
          <w:bCs/>
          <w:sz w:val="32"/>
          <w:szCs w:val="32"/>
        </w:rPr>
      </w:pPr>
    </w:p>
    <w:p>
      <w:pPr>
        <w:widowControl/>
        <w:numPr>
          <w:ilvl w:val="0"/>
          <w:numId w:val="1"/>
        </w:numPr>
        <w:jc w:val="left"/>
        <w:rPr>
          <w:rFonts w:hint="eastAsia" w:ascii="宋体" w:hAnsi="宋体" w:cs="宋体"/>
          <w:b/>
          <w:bCs/>
          <w:sz w:val="32"/>
          <w:szCs w:val="32"/>
        </w:rPr>
      </w:pPr>
      <w:r>
        <w:rPr>
          <w:rFonts w:hint="eastAsia" w:ascii="宋体" w:hAnsi="宋体" w:cs="宋体"/>
          <w:b/>
          <w:bCs/>
          <w:sz w:val="32"/>
          <w:szCs w:val="32"/>
          <w:lang w:val="en-US" w:eastAsia="zh-CN"/>
        </w:rPr>
        <w:t>其他（</w:t>
      </w:r>
      <w:r>
        <w:rPr>
          <w:rFonts w:hint="eastAsia" w:eastAsia="宋体"/>
          <w:sz w:val="28"/>
          <w:szCs w:val="28"/>
          <w:lang w:val="en-US" w:eastAsia="zh-CN"/>
        </w:rPr>
        <w:t>监理工作方案等</w:t>
      </w:r>
      <w:r>
        <w:rPr>
          <w:rFonts w:hint="eastAsia" w:ascii="宋体" w:hAnsi="宋体" w:cs="宋体"/>
          <w:b/>
          <w:bCs/>
          <w:sz w:val="32"/>
          <w:szCs w:val="32"/>
          <w:lang w:val="en-US" w:eastAsia="zh-CN"/>
        </w:rPr>
        <w:t>）</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C01215"/>
    <w:multiLevelType w:val="singleLevel"/>
    <w:tmpl w:val="F9C01215"/>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1077EEE"/>
    <w:rsid w:val="01985271"/>
    <w:rsid w:val="04631B59"/>
    <w:rsid w:val="047354A0"/>
    <w:rsid w:val="06E91FE9"/>
    <w:rsid w:val="098350E2"/>
    <w:rsid w:val="09A21AD8"/>
    <w:rsid w:val="0B44732B"/>
    <w:rsid w:val="0FD256B3"/>
    <w:rsid w:val="12B209D4"/>
    <w:rsid w:val="13C94031"/>
    <w:rsid w:val="179E447E"/>
    <w:rsid w:val="19B923C6"/>
    <w:rsid w:val="1B4163EC"/>
    <w:rsid w:val="1CB94805"/>
    <w:rsid w:val="1D045AE7"/>
    <w:rsid w:val="1DD4755B"/>
    <w:rsid w:val="20AA1B56"/>
    <w:rsid w:val="21662A18"/>
    <w:rsid w:val="250825DF"/>
    <w:rsid w:val="28486D84"/>
    <w:rsid w:val="292C1377"/>
    <w:rsid w:val="2A051E27"/>
    <w:rsid w:val="2B445ED5"/>
    <w:rsid w:val="2B571037"/>
    <w:rsid w:val="329577CD"/>
    <w:rsid w:val="33720CA9"/>
    <w:rsid w:val="34693548"/>
    <w:rsid w:val="34A50D39"/>
    <w:rsid w:val="42651297"/>
    <w:rsid w:val="4C74075C"/>
    <w:rsid w:val="4CF40F2D"/>
    <w:rsid w:val="531203CC"/>
    <w:rsid w:val="540F43B6"/>
    <w:rsid w:val="59361FE2"/>
    <w:rsid w:val="59C32923"/>
    <w:rsid w:val="59CD148E"/>
    <w:rsid w:val="5E9B094F"/>
    <w:rsid w:val="62D35BB6"/>
    <w:rsid w:val="66AA0AA7"/>
    <w:rsid w:val="68FE228D"/>
    <w:rsid w:val="69835AA6"/>
    <w:rsid w:val="6A577A5F"/>
    <w:rsid w:val="6D535020"/>
    <w:rsid w:val="70533AEB"/>
    <w:rsid w:val="757F037F"/>
    <w:rsid w:val="75943852"/>
    <w:rsid w:val="78CB21D4"/>
    <w:rsid w:val="78D97FC5"/>
    <w:rsid w:val="7B915A61"/>
    <w:rsid w:val="7E464D80"/>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zyy</cp:lastModifiedBy>
  <cp:lastPrinted>2021-11-19T10:01:10Z</cp:lastPrinted>
  <dcterms:modified xsi:type="dcterms:W3CDTF">2021-11-19T10:06:58Z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A6A892B695B945DD914AC87209829544</vt:lpwstr>
  </property>
</Properties>
</file>