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附</w:t>
      </w:r>
      <w:r>
        <w:rPr>
          <w:rFonts w:hint="eastAsia" w:asciiTheme="majorEastAsia" w:hAnsiTheme="majorEastAsia" w:eastAsiaTheme="majorEastAsia" w:cstheme="majorEastAsia"/>
          <w:b/>
          <w:kern w:val="0"/>
          <w:sz w:val="36"/>
          <w:szCs w:val="36"/>
          <w:lang w:eastAsia="zh-CN"/>
        </w:rPr>
        <w:t>件</w:t>
      </w:r>
      <w:r>
        <w:rPr>
          <w:rFonts w:hint="eastAsia" w:asciiTheme="majorEastAsia" w:hAnsiTheme="majorEastAsia" w:eastAsiaTheme="majorEastAsia" w:cstheme="majorEastAsia"/>
          <w:b/>
          <w:kern w:val="0"/>
          <w:sz w:val="36"/>
          <w:szCs w:val="36"/>
        </w:rPr>
        <w:t>：</w:t>
      </w:r>
      <w:r>
        <w:rPr>
          <w:rFonts w:hint="eastAsia" w:asciiTheme="majorEastAsia" w:hAnsiTheme="majorEastAsia" w:eastAsiaTheme="majorEastAsia" w:cstheme="majorEastAsia"/>
          <w:b/>
          <w:sz w:val="36"/>
          <w:szCs w:val="36"/>
        </w:rPr>
        <w:t>项目</w:t>
      </w:r>
      <w:r>
        <w:rPr>
          <w:rFonts w:hint="eastAsia" w:asciiTheme="majorEastAsia" w:hAnsiTheme="majorEastAsia" w:eastAsiaTheme="majorEastAsia" w:cstheme="majorEastAsia"/>
          <w:b/>
          <w:kern w:val="0"/>
          <w:sz w:val="36"/>
          <w:szCs w:val="36"/>
          <w:lang w:eastAsia="zh-CN"/>
        </w:rPr>
        <w:t>商务及</w:t>
      </w:r>
      <w:r>
        <w:rPr>
          <w:rFonts w:hint="eastAsia" w:asciiTheme="majorEastAsia" w:hAnsiTheme="majorEastAsia" w:eastAsiaTheme="majorEastAsia" w:cstheme="majorEastAsia"/>
          <w:b/>
          <w:kern w:val="0"/>
          <w:sz w:val="36"/>
          <w:szCs w:val="36"/>
        </w:rPr>
        <w:t>技术要求</w:t>
      </w:r>
    </w:p>
    <w:p>
      <w:pPr>
        <w:jc w:val="both"/>
        <w:rPr>
          <w:rFonts w:hint="eastAsia" w:asciiTheme="majorEastAsia" w:hAnsiTheme="majorEastAsia" w:eastAsiaTheme="majorEastAsia" w:cstheme="majorEastAsia"/>
          <w:b/>
          <w:kern w:val="0"/>
          <w:sz w:val="36"/>
          <w:szCs w:val="36"/>
        </w:rPr>
      </w:pPr>
    </w:p>
    <w:p>
      <w:pPr>
        <w:keepNext w:val="0"/>
        <w:keepLines w:val="0"/>
        <w:pageBreakBefore w:val="0"/>
        <w:numPr>
          <w:ilvl w:val="0"/>
          <w:numId w:val="1"/>
        </w:numPr>
        <w:kinsoku/>
        <w:wordWrap/>
        <w:overflowPunct/>
        <w:topLinePunct w:val="0"/>
        <w:autoSpaceDE/>
        <w:autoSpaceDN/>
        <w:bidi w:val="0"/>
        <w:adjustRightInd/>
        <w:snapToGrid/>
        <w:spacing w:line="360" w:lineRule="auto"/>
        <w:rPr>
          <w:rFonts w:hint="eastAsia" w:ascii="宋体" w:hAnsi="宋体" w:cs="Times New Roman"/>
          <w:b/>
          <w:bCs/>
          <w:sz w:val="28"/>
          <w:szCs w:val="28"/>
          <w:lang w:val="en-US" w:eastAsia="zh-CN"/>
        </w:rPr>
      </w:pPr>
      <w:r>
        <w:rPr>
          <w:rFonts w:hint="eastAsia" w:ascii="宋体" w:hAnsi="宋体" w:cs="Times New Roman"/>
          <w:b/>
          <w:bCs/>
          <w:sz w:val="28"/>
          <w:szCs w:val="28"/>
          <w:lang w:val="en-US" w:eastAsia="zh-CN"/>
        </w:rPr>
        <w:t>资质要求</w:t>
      </w:r>
    </w:p>
    <w:p>
      <w:pPr>
        <w:pStyle w:val="7"/>
        <w:keepNext w:val="0"/>
        <w:keepLines w:val="0"/>
        <w:pageBreakBefore w:val="0"/>
        <w:widowControl/>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 投标人须具有独立法人资格，投标人须提供公司营业执照、组织机构代码证、税务登记证或“三证合一”的营业执照复印件；</w:t>
      </w:r>
    </w:p>
    <w:p>
      <w:pPr>
        <w:pStyle w:val="7"/>
        <w:keepNext w:val="0"/>
        <w:keepLines w:val="0"/>
        <w:pageBreakBefore w:val="0"/>
        <w:widowControl/>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 投标人须提供近三年（2021、2020、2019年）财务报告，财务状况良好；</w:t>
      </w:r>
    </w:p>
    <w:p>
      <w:pPr>
        <w:pStyle w:val="7"/>
        <w:keepNext w:val="0"/>
        <w:keepLines w:val="0"/>
        <w:pageBreakBefore w:val="0"/>
        <w:widowControl/>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3. 投标人拟派项目负责人须具有注册造价师资格和相关专业中级及以上工程师职称，并提供社保参保证明（退休人员提供退休证明）；</w:t>
      </w:r>
    </w:p>
    <w:p>
      <w:pPr>
        <w:pStyle w:val="7"/>
        <w:keepNext w:val="0"/>
        <w:keepLines w:val="0"/>
        <w:pageBreakBefore w:val="0"/>
        <w:widowControl/>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4. 须未被列入“信用中国”网站(www.creditchina.gov.cn)失信被执行人、重大税收违法案件当事人和“中国政府采购”网站（</w:t>
      </w:r>
      <w:bookmarkStart w:id="0" w:name="OLE_LINK9"/>
      <w:r>
        <w:rPr>
          <w:rFonts w:hint="eastAsia" w:ascii="宋体" w:hAnsi="宋体" w:eastAsia="宋体" w:cs="Times New Roman"/>
          <w:color w:val="auto"/>
          <w:kern w:val="2"/>
          <w:sz w:val="24"/>
          <w:szCs w:val="24"/>
          <w:highlight w:val="none"/>
          <w:lang w:val="en-US" w:eastAsia="zh-CN" w:bidi="ar-SA"/>
        </w:rPr>
        <w:t>www. ccgp.gov.cn</w:t>
      </w:r>
      <w:bookmarkEnd w:id="0"/>
      <w:r>
        <w:rPr>
          <w:rFonts w:hint="eastAsia" w:ascii="宋体" w:hAnsi="宋体" w:eastAsia="宋体" w:cs="Times New Roman"/>
          <w:color w:val="auto"/>
          <w:kern w:val="2"/>
          <w:sz w:val="24"/>
          <w:szCs w:val="24"/>
          <w:highlight w:val="none"/>
          <w:lang w:val="en-US" w:eastAsia="zh-CN" w:bidi="ar-SA"/>
        </w:rPr>
        <w:t>）政府采购严重违法失信行为记录名单（提供报名期间网站截图）；；</w:t>
      </w:r>
    </w:p>
    <w:p>
      <w:pPr>
        <w:keepNext w:val="0"/>
        <w:keepLines w:val="0"/>
        <w:pageBreakBefore w:val="0"/>
        <w:kinsoku/>
        <w:wordWrap/>
        <w:overflowPunct/>
        <w:topLinePunct w:val="0"/>
        <w:autoSpaceDE/>
        <w:autoSpaceDN/>
        <w:bidi w:val="0"/>
        <w:adjustRightInd/>
        <w:snapToGrid/>
        <w:spacing w:line="360" w:lineRule="auto"/>
        <w:rPr>
          <w:rFonts w:hint="default" w:ascii="宋体" w:hAnsi="宋体" w:eastAsiaTheme="minorEastAsia"/>
          <w:b/>
          <w:bCs/>
          <w:sz w:val="28"/>
          <w:szCs w:val="28"/>
          <w:lang w:val="en-US" w:eastAsia="zh-CN"/>
        </w:rPr>
      </w:pPr>
      <w:r>
        <w:rPr>
          <w:rFonts w:hint="eastAsia" w:ascii="宋体" w:hAnsi="宋体"/>
          <w:b/>
          <w:bCs/>
          <w:sz w:val="28"/>
          <w:szCs w:val="28"/>
          <w:lang w:val="en-US" w:eastAsia="zh-CN"/>
        </w:rPr>
        <w:t>二、</w:t>
      </w:r>
      <w:r>
        <w:rPr>
          <w:rFonts w:hint="eastAsia" w:ascii="宋体" w:hAnsi="宋体" w:cs="Times New Roman"/>
          <w:b/>
          <w:bCs/>
          <w:sz w:val="28"/>
          <w:szCs w:val="28"/>
          <w:lang w:val="en-US" w:eastAsia="zh-CN"/>
        </w:rPr>
        <w:t>服</w:t>
      </w:r>
      <w:r>
        <w:rPr>
          <w:rFonts w:hint="eastAsia" w:ascii="宋体" w:hAnsi="宋体"/>
          <w:b/>
          <w:bCs/>
          <w:sz w:val="28"/>
          <w:szCs w:val="28"/>
          <w:lang w:val="en-US" w:eastAsia="zh-CN"/>
        </w:rPr>
        <w:t>务要求</w:t>
      </w:r>
    </w:p>
    <w:p>
      <w:pPr>
        <w:keepNext w:val="0"/>
        <w:keepLines w:val="0"/>
        <w:pageBreakBefore w:val="0"/>
        <w:widowControl w:val="0"/>
        <w:numPr>
          <w:numId w:val="0"/>
        </w:numPr>
        <w:kinsoku/>
        <w:wordWrap/>
        <w:overflowPunct/>
        <w:topLinePunct w:val="0"/>
        <w:autoSpaceDE/>
        <w:autoSpaceDN/>
        <w:bidi w:val="0"/>
        <w:adjustRightInd/>
        <w:snapToGrid/>
        <w:spacing w:line="520" w:lineRule="exact"/>
        <w:textAlignment w:val="auto"/>
        <w:rPr>
          <w:rFonts w:hint="eastAsia"/>
          <w:b/>
          <w:bCs/>
          <w:color w:val="auto"/>
          <w:sz w:val="24"/>
          <w:highlight w:val="none"/>
          <w:lang w:eastAsia="zh-CN"/>
        </w:rPr>
      </w:pPr>
      <w:r>
        <w:rPr>
          <w:rFonts w:hint="eastAsia"/>
          <w:b/>
          <w:bCs/>
          <w:color w:val="auto"/>
          <w:sz w:val="24"/>
          <w:highlight w:val="none"/>
          <w:lang w:eastAsia="zh-CN"/>
        </w:rPr>
        <w:t>（</w:t>
      </w:r>
      <w:r>
        <w:rPr>
          <w:rFonts w:hint="eastAsia"/>
          <w:b/>
          <w:bCs/>
          <w:color w:val="auto"/>
          <w:sz w:val="24"/>
          <w:highlight w:val="none"/>
          <w:lang w:val="en-US" w:eastAsia="zh-CN"/>
        </w:rPr>
        <w:t>一</w:t>
      </w:r>
      <w:r>
        <w:rPr>
          <w:rFonts w:hint="eastAsia"/>
          <w:b/>
          <w:bCs/>
          <w:color w:val="auto"/>
          <w:sz w:val="24"/>
          <w:highlight w:val="none"/>
          <w:lang w:eastAsia="zh-CN"/>
        </w:rPr>
        <w:t>）工程概况：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lang w:val="en-US" w:eastAsia="zh-CN"/>
        </w:rPr>
      </w:pPr>
      <w:r>
        <w:rPr>
          <w:rFonts w:hint="eastAsia"/>
          <w:sz w:val="24"/>
          <w:lang w:eastAsia="zh-CN"/>
        </w:rPr>
        <w:t>建设地点：荆州市沙市区江津东路</w:t>
      </w:r>
      <w:r>
        <w:rPr>
          <w:rFonts w:hint="eastAsia"/>
          <w:sz w:val="24"/>
          <w:lang w:val="en-US" w:eastAsia="zh-CN"/>
        </w:rPr>
        <w:t>172号中医医院内（需自行查看现场，充分考虑现场情况）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lang w:val="en-US" w:eastAsia="zh-CN"/>
        </w:rPr>
      </w:pPr>
      <w:r>
        <w:rPr>
          <w:rFonts w:hint="eastAsia"/>
          <w:sz w:val="24"/>
          <w:lang w:val="en-US" w:eastAsia="zh-CN"/>
        </w:rPr>
        <w:t>建设规模：</w:t>
      </w:r>
      <w:r>
        <w:rPr>
          <w:rFonts w:hint="eastAsia" w:ascii="宋体" w:hAnsi="宋体" w:cs="宋体"/>
          <w:sz w:val="24"/>
          <w:lang w:val="en-US" w:eastAsia="zh-CN"/>
        </w:rPr>
        <w:t>建筑层数为1层，建筑面积约为515㎡，建筑高度约为10.1米，结构形式为框架。项目建设内容：空调机房土建、水电、装饰装修施工；大楼室外物流管廊结构及装饰施工；周边局部道路配套施工等。（不含空调机房内空调主机等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lang w:val="en-US" w:eastAsia="zh-CN"/>
        </w:rPr>
      </w:pPr>
      <w:r>
        <w:rPr>
          <w:rFonts w:hint="eastAsia"/>
          <w:sz w:val="24"/>
          <w:lang w:val="en-US" w:eastAsia="zh-CN"/>
        </w:rPr>
        <w:t>工程预算总投资约464万元。</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bCs w:val="0"/>
          <w:color w:val="auto"/>
          <w:sz w:val="24"/>
          <w:highlight w:val="none"/>
          <w:lang w:eastAsia="zh-CN"/>
        </w:rPr>
      </w:pPr>
      <w:r>
        <w:rPr>
          <w:rFonts w:hint="eastAsia"/>
          <w:sz w:val="24"/>
          <w:lang w:val="en-US" w:eastAsia="zh-CN"/>
        </w:rPr>
        <w:t>（二）</w:t>
      </w:r>
      <w:r>
        <w:rPr>
          <w:rFonts w:hint="eastAsia"/>
          <w:b/>
          <w:bCs w:val="0"/>
          <w:color w:val="auto"/>
          <w:sz w:val="24"/>
          <w:highlight w:val="none"/>
          <w:lang w:eastAsia="zh-CN"/>
        </w:rPr>
        <w:t>服务期限：</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leftChars="0" w:firstLine="480" w:firstLineChars="200"/>
        <w:textAlignment w:val="auto"/>
        <w:rPr>
          <w:rFonts w:hint="eastAsia" w:ascii="宋体" w:hAnsi="宋体" w:cs="宋体" w:eastAsiaTheme="minorEastAsia"/>
          <w:bCs w:val="0"/>
          <w:spacing w:val="0"/>
          <w:kern w:val="2"/>
          <w:sz w:val="24"/>
          <w:szCs w:val="24"/>
          <w:lang w:val="en-US" w:eastAsia="zh-CN" w:bidi="ar-SA"/>
        </w:rPr>
      </w:pPr>
      <w:r>
        <w:rPr>
          <w:rFonts w:hint="eastAsia" w:ascii="宋体" w:hAnsi="宋体" w:cs="宋体" w:eastAsiaTheme="minorEastAsia"/>
          <w:bCs w:val="0"/>
          <w:spacing w:val="0"/>
          <w:kern w:val="2"/>
          <w:sz w:val="24"/>
          <w:szCs w:val="24"/>
          <w:lang w:val="en-US" w:eastAsia="zh-CN" w:bidi="ar-SA"/>
        </w:rPr>
        <w:t>完成合同签订，自收到本项目设计施工图之日起15日历天完成预算编制。</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Chars="0"/>
        <w:textAlignment w:val="auto"/>
        <w:rPr>
          <w:rFonts w:hint="eastAsia"/>
          <w:color w:val="auto"/>
          <w:sz w:val="24"/>
          <w:highlight w:val="none"/>
        </w:rPr>
      </w:pPr>
      <w:r>
        <w:rPr>
          <w:rFonts w:hint="eastAsia"/>
          <w:b/>
          <w:bCs/>
          <w:color w:val="auto"/>
          <w:sz w:val="24"/>
          <w:highlight w:val="none"/>
          <w:lang w:eastAsia="zh-CN"/>
        </w:rPr>
        <w:t>（</w:t>
      </w:r>
      <w:r>
        <w:rPr>
          <w:rFonts w:hint="eastAsia"/>
          <w:b/>
          <w:bCs/>
          <w:color w:val="auto"/>
          <w:sz w:val="24"/>
          <w:highlight w:val="none"/>
          <w:lang w:val="en-US" w:eastAsia="zh-CN"/>
        </w:rPr>
        <w:t>三</w:t>
      </w:r>
      <w:r>
        <w:rPr>
          <w:rFonts w:hint="eastAsia"/>
          <w:b/>
          <w:bCs/>
          <w:color w:val="auto"/>
          <w:sz w:val="24"/>
          <w:highlight w:val="none"/>
          <w:lang w:eastAsia="zh-CN"/>
        </w:rPr>
        <w:t>）采购需求</w:t>
      </w:r>
      <w:r>
        <w:rPr>
          <w:rFonts w:hint="eastAsia"/>
          <w:color w:val="auto"/>
          <w:sz w:val="24"/>
          <w:highlight w:val="none"/>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80" w:firstLineChars="200"/>
        <w:textAlignment w:val="auto"/>
        <w:rPr>
          <w:rFonts w:hint="eastAsia"/>
          <w:lang w:eastAsia="zh-CN"/>
        </w:rPr>
      </w:pPr>
      <w:r>
        <w:rPr>
          <w:rFonts w:hint="eastAsia" w:ascii="Times New Roman" w:hAnsi="Times New Roman" w:eastAsia="宋体"/>
          <w:color w:val="auto"/>
          <w:sz w:val="24"/>
          <w:highlight w:val="none"/>
          <w:lang w:eastAsia="zh-CN"/>
        </w:rPr>
        <w:t>对荆州市中医医院中医特色大楼建设项目调整 空调机房配套项目进行预算编制（含工程量清单编制及招标控制价编制），同时配合完成该项目的财政评审相关工作</w:t>
      </w:r>
      <w:r>
        <w:rPr>
          <w:rFonts w:hint="eastAsia"/>
          <w:color w:val="auto"/>
          <w:sz w:val="24"/>
          <w:highlight w:val="none"/>
          <w:lang w:eastAsia="zh-CN"/>
        </w:rPr>
        <w:t>，取得相关财评报告</w:t>
      </w:r>
      <w:r>
        <w:rPr>
          <w:rFonts w:hint="eastAsia" w:ascii="Times New Roman" w:hAnsi="Times New Roman" w:eastAsia="宋体"/>
          <w:color w:val="auto"/>
          <w:sz w:val="24"/>
          <w:highlight w:val="none"/>
          <w:lang w:eastAsia="zh-CN"/>
        </w:rPr>
        <w:t>。</w:t>
      </w:r>
      <w:r>
        <w:rPr>
          <w:rFonts w:hint="eastAsia"/>
          <w:color w:val="auto"/>
          <w:sz w:val="24"/>
          <w:highlight w:val="none"/>
          <w:lang w:eastAsia="zh-CN"/>
        </w:rPr>
        <w:t>在施工中及竣工审计时提供必要的咨询服务。</w:t>
      </w:r>
    </w:p>
    <w:p>
      <w:pPr>
        <w:pStyle w:val="6"/>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asciiTheme="minorHAnsi" w:hAnsiTheme="minorHAnsi" w:eastAsiaTheme="minorEastAsia" w:cstheme="minorBidi"/>
          <w:b/>
          <w:bCs/>
          <w:color w:val="auto"/>
          <w:kern w:val="2"/>
          <w:sz w:val="24"/>
          <w:szCs w:val="24"/>
          <w:highlight w:val="none"/>
          <w:lang w:val="en-US" w:eastAsia="zh-CN" w:bidi="ar-SA"/>
        </w:rPr>
      </w:pPr>
      <w:r>
        <w:rPr>
          <w:rFonts w:hint="eastAsia" w:asciiTheme="minorHAnsi" w:hAnsiTheme="minorHAnsi" w:eastAsiaTheme="minorEastAsia" w:cstheme="minorBidi"/>
          <w:b/>
          <w:bCs/>
          <w:color w:val="auto"/>
          <w:kern w:val="2"/>
          <w:sz w:val="24"/>
          <w:szCs w:val="24"/>
          <w:highlight w:val="none"/>
          <w:lang w:val="en-US" w:eastAsia="zh-CN" w:bidi="ar-SA"/>
        </w:rPr>
        <w:t>（四）工程质量：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color w:val="auto"/>
          <w:highlight w:val="none"/>
          <w:lang w:val="en-US" w:eastAsia="zh-CN"/>
        </w:rPr>
      </w:pPr>
      <w:r>
        <w:rPr>
          <w:rFonts w:hint="eastAsia"/>
          <w:color w:val="auto"/>
          <w:sz w:val="24"/>
          <w:highlight w:val="none"/>
          <w:lang w:val="en-US" w:eastAsia="zh-CN"/>
        </w:rPr>
        <w:t>编审质量达到国家现行相关编审规程及造价咨询成果文件质量标准要求。不允许缺项漏项，不允许清单描述不正确和不详细，出现上述问题，业主将对编制单位进行相关处罚。</w:t>
      </w:r>
    </w:p>
    <w:p>
      <w:pPr>
        <w:keepNext w:val="0"/>
        <w:keepLines w:val="0"/>
        <w:pageBreakBefore w:val="0"/>
        <w:widowControl w:val="0"/>
        <w:kinsoku/>
        <w:wordWrap/>
        <w:overflowPunct/>
        <w:topLinePunct w:val="0"/>
        <w:autoSpaceDE/>
        <w:autoSpaceDN/>
        <w:bidi w:val="0"/>
        <w:spacing w:line="360" w:lineRule="auto"/>
        <w:textAlignment w:val="auto"/>
        <w:rPr>
          <w:rFonts w:hint="eastAsia"/>
          <w:b/>
          <w:bCs/>
          <w:sz w:val="24"/>
          <w:lang w:val="en-US" w:eastAsia="zh-CN"/>
        </w:rPr>
      </w:pPr>
      <w:r>
        <w:rPr>
          <w:rFonts w:hint="eastAsia"/>
          <w:b/>
          <w:bCs/>
          <w:sz w:val="24"/>
          <w:lang w:val="en-US" w:eastAsia="zh-CN"/>
        </w:rPr>
        <w:t>（五）付款方式：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480" w:firstLineChars="200"/>
        <w:jc w:val="both"/>
        <w:textAlignment w:val="auto"/>
        <w:outlineLvl w:val="9"/>
        <w:rPr>
          <w:rFonts w:hint="eastAsia"/>
          <w:sz w:val="24"/>
          <w:lang w:eastAsia="zh-CN"/>
        </w:rPr>
      </w:pPr>
      <w:r>
        <w:rPr>
          <w:rFonts w:hint="eastAsia"/>
          <w:sz w:val="24"/>
          <w:lang w:eastAsia="zh-CN"/>
        </w:rPr>
        <w:t>施工合同及付款方式待中标后与院方具体协商约定。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widowControl w:val="0"/>
        <w:numPr>
          <w:ilvl w:val="0"/>
          <w:numId w:val="0"/>
        </w:numPr>
        <w:jc w:val="both"/>
        <w:rPr>
          <w:rFonts w:hint="default"/>
          <w:sz w:val="24"/>
          <w:szCs w:val="24"/>
          <w:lang w:val="en-US" w:eastAsia="zh-CN"/>
        </w:rPr>
      </w:pPr>
    </w:p>
    <w:p>
      <w:pPr>
        <w:rPr>
          <w:rFonts w:hint="eastAsia"/>
          <w:b/>
          <w:bCs/>
          <w:sz w:val="32"/>
          <w:szCs w:val="32"/>
          <w:lang w:val="en-US" w:eastAsia="zh-CN"/>
        </w:rPr>
      </w:pPr>
    </w:p>
    <w:p>
      <w:pPr>
        <w:rPr>
          <w:rFonts w:hint="eastAsia"/>
          <w:b/>
          <w:bCs/>
          <w:sz w:val="32"/>
          <w:szCs w:val="32"/>
          <w:lang w:val="en-US" w:eastAsia="zh-CN"/>
        </w:rPr>
      </w:pPr>
    </w:p>
    <w:p>
      <w:pPr>
        <w:rPr>
          <w:rFonts w:hint="eastAsia"/>
          <w:b/>
          <w:bCs/>
          <w:sz w:val="32"/>
          <w:szCs w:val="32"/>
          <w:lang w:val="en-US" w:eastAsia="zh-CN"/>
        </w:rPr>
      </w:pPr>
    </w:p>
    <w:p>
      <w:pPr>
        <w:rPr>
          <w:rFonts w:hint="eastAsia"/>
          <w:b/>
          <w:bCs/>
          <w:sz w:val="32"/>
          <w:szCs w:val="32"/>
          <w:lang w:val="en-US" w:eastAsia="zh-CN"/>
        </w:rPr>
      </w:pPr>
    </w:p>
    <w:p>
      <w:pPr>
        <w:rPr>
          <w:rFonts w:hint="eastAsia" w:ascii="宋体" w:hAnsi="宋体"/>
          <w:b/>
          <w:sz w:val="32"/>
          <w:szCs w:val="32"/>
        </w:rPr>
      </w:pPr>
      <w:r>
        <w:rPr>
          <w:rFonts w:hint="eastAsia"/>
          <w:b/>
          <w:bCs/>
          <w:sz w:val="32"/>
          <w:szCs w:val="32"/>
          <w:lang w:val="en-US" w:eastAsia="zh-CN"/>
        </w:rPr>
        <w:t>三</w:t>
      </w:r>
      <w:r>
        <w:rPr>
          <w:rFonts w:hint="eastAsia"/>
          <w:b/>
          <w:bCs/>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8"/>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3"/>
        <w:rPr>
          <w:rFonts w:hint="eastAsia" w:ascii="宋体" w:hAnsi="宋体"/>
          <w:b/>
          <w:sz w:val="32"/>
          <w:szCs w:val="32"/>
        </w:rPr>
      </w:pPr>
      <w:r>
        <w:rPr>
          <w:rFonts w:hint="eastAsia" w:ascii="宋体" w:hAnsi="宋体"/>
          <w:b/>
          <w:sz w:val="32"/>
          <w:szCs w:val="32"/>
          <w:lang w:val="en-US" w:eastAsia="zh-CN"/>
        </w:rPr>
        <w:t>四</w:t>
      </w:r>
      <w:r>
        <w:rPr>
          <w:rFonts w:hint="eastAsia" w:ascii="宋体" w:hAnsi="宋体"/>
          <w:b/>
          <w:sz w:val="32"/>
          <w:szCs w:val="32"/>
          <w:lang w:eastAsia="zh-CN"/>
        </w:rPr>
        <w:t>、</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tbl>
      <w:tblPr>
        <w:tblStyle w:val="8"/>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5299"/>
        <w:gridCol w:w="1614"/>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序号</w:t>
            </w:r>
          </w:p>
        </w:tc>
        <w:tc>
          <w:tcPr>
            <w:tcW w:w="5299"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名称</w:t>
            </w:r>
          </w:p>
        </w:tc>
        <w:tc>
          <w:tcPr>
            <w:tcW w:w="1614"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报价（元）</w:t>
            </w:r>
          </w:p>
        </w:tc>
        <w:tc>
          <w:tcPr>
            <w:tcW w:w="950"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52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14"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950"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5299" w:type="dxa"/>
            <w:vAlign w:val="center"/>
          </w:tcPr>
          <w:p>
            <w:pPr>
              <w:tabs>
                <w:tab w:val="left" w:pos="1290"/>
              </w:tabs>
              <w:spacing w:line="460" w:lineRule="exact"/>
              <w:rPr>
                <w:rFonts w:hint="eastAsia" w:asciiTheme="minorEastAsia" w:hAnsiTheme="minorEastAsia" w:eastAsiaTheme="minorEastAsia" w:cstheme="minorEastAsia"/>
                <w:sz w:val="30"/>
                <w:szCs w:val="30"/>
              </w:rPr>
            </w:pPr>
          </w:p>
        </w:tc>
        <w:tc>
          <w:tcPr>
            <w:tcW w:w="1614"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950"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5299" w:type="dxa"/>
            <w:vAlign w:val="center"/>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614"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950"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9" w:type="dxa"/>
            <w:gridSpan w:val="2"/>
            <w:vAlign w:val="top"/>
          </w:tcPr>
          <w:p>
            <w:pPr>
              <w:tabs>
                <w:tab w:val="left" w:pos="1290"/>
              </w:tabs>
              <w:spacing w:line="460" w:lineRule="exact"/>
              <w:jc w:val="cente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合计：总报价</w:t>
            </w:r>
            <w:r>
              <w:rPr>
                <w:rFonts w:hint="eastAsia" w:asciiTheme="minorEastAsia" w:hAnsiTheme="minorEastAsia" w:eastAsiaTheme="minorEastAsia" w:cstheme="minorEastAsia"/>
                <w:sz w:val="30"/>
                <w:szCs w:val="30"/>
                <w:lang w:eastAsia="zh-CN"/>
              </w:rPr>
              <w:t>（小写）：</w:t>
            </w:r>
          </w:p>
        </w:tc>
        <w:tc>
          <w:tcPr>
            <w:tcW w:w="2564" w:type="dxa"/>
            <w:gridSpan w:val="2"/>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949" w:type="dxa"/>
            <w:gridSpan w:val="2"/>
            <w:vAlign w:val="top"/>
          </w:tcPr>
          <w:p>
            <w:pPr>
              <w:tabs>
                <w:tab w:val="left" w:pos="1290"/>
              </w:tabs>
              <w:spacing w:line="460" w:lineRule="exact"/>
              <w:jc w:val="cente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大写：</w:t>
            </w:r>
          </w:p>
        </w:tc>
        <w:tc>
          <w:tcPr>
            <w:tcW w:w="2564" w:type="dxa"/>
            <w:gridSpan w:val="2"/>
            <w:vAlign w:val="top"/>
          </w:tcPr>
          <w:p>
            <w:pPr>
              <w:tabs>
                <w:tab w:val="left" w:pos="1290"/>
              </w:tabs>
              <w:spacing w:line="460" w:lineRule="exact"/>
              <w:rPr>
                <w:rFonts w:hint="eastAsia" w:asciiTheme="minorEastAsia" w:hAnsiTheme="minorEastAsia" w:eastAsiaTheme="minorEastAsia" w:cstheme="minorEastAsia"/>
                <w:sz w:val="30"/>
                <w:szCs w:val="30"/>
              </w:rPr>
            </w:pPr>
          </w:p>
        </w:tc>
      </w:tr>
    </w:tbl>
    <w:p>
      <w:pPr>
        <w:pStyle w:val="4"/>
        <w:rPr>
          <w:rFonts w:hint="eastAsia"/>
        </w:rPr>
      </w:pPr>
    </w:p>
    <w:p>
      <w:pPr>
        <w:tabs>
          <w:tab w:val="left" w:pos="1290"/>
        </w:tabs>
        <w:spacing w:line="460" w:lineRule="exact"/>
        <w:ind w:firstLine="240" w:firstLineChars="100"/>
        <w:rPr>
          <w:rFonts w:hint="eastAsia" w:ascii="宋体" w:hAnsi="宋体"/>
          <w:sz w:val="24"/>
        </w:rPr>
      </w:pPr>
    </w:p>
    <w:p>
      <w:pPr>
        <w:tabs>
          <w:tab w:val="left" w:pos="1290"/>
        </w:tabs>
        <w:spacing w:line="460" w:lineRule="exact"/>
        <w:ind w:firstLine="240" w:firstLineChars="100"/>
        <w:rPr>
          <w:rFonts w:hint="eastAsia" w:ascii="宋体" w:hAnsi="宋体"/>
          <w:sz w:val="24"/>
        </w:rPr>
      </w:pPr>
    </w:p>
    <w:p>
      <w:pPr>
        <w:tabs>
          <w:tab w:val="left" w:pos="1290"/>
        </w:tabs>
        <w:spacing w:line="460" w:lineRule="exact"/>
        <w:ind w:firstLine="240" w:firstLineChars="100"/>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2022</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32"/>
          <w:szCs w:val="32"/>
          <w:lang w:val="en-US" w:eastAsia="zh-CN"/>
        </w:rPr>
      </w:pPr>
    </w:p>
    <w:p>
      <w:pPr>
        <w:widowControl/>
        <w:jc w:val="left"/>
        <w:rPr>
          <w:rFonts w:hint="eastAsia" w:ascii="宋体" w:hAnsi="宋体" w:cs="宋体"/>
          <w:b/>
          <w:bCs/>
          <w:kern w:val="0"/>
          <w:sz w:val="32"/>
          <w:szCs w:val="32"/>
        </w:rPr>
      </w:pPr>
      <w:r>
        <w:rPr>
          <w:rFonts w:hint="eastAsia" w:ascii="宋体" w:hAnsi="宋体" w:cs="宋体"/>
          <w:b/>
          <w:bCs/>
          <w:sz w:val="32"/>
          <w:szCs w:val="32"/>
          <w:lang w:val="en-US" w:eastAsia="zh-CN"/>
        </w:rPr>
        <w:t>五</w:t>
      </w:r>
      <w:r>
        <w:rPr>
          <w:rFonts w:hint="eastAsia" w:ascii="宋体" w:hAnsi="宋体" w:cs="宋体"/>
          <w:b/>
          <w:bCs/>
          <w:sz w:val="32"/>
          <w:szCs w:val="32"/>
        </w:rPr>
        <w:t>、营业执照副本复印件</w:t>
      </w:r>
    </w:p>
    <w:p>
      <w:pPr>
        <w:pStyle w:val="7"/>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b/>
          <w:bCs/>
          <w:sz w:val="30"/>
          <w:szCs w:val="30"/>
          <w:u w:val="none"/>
          <w:lang w:val="en-US" w:eastAsia="zh-CN"/>
        </w:rPr>
      </w:pPr>
      <w:r>
        <w:rPr>
          <w:rFonts w:hint="eastAsia"/>
          <w:b/>
          <w:bCs/>
          <w:sz w:val="30"/>
          <w:szCs w:val="30"/>
          <w:u w:val="none"/>
          <w:lang w:val="en-US" w:eastAsia="zh-CN"/>
        </w:rPr>
        <w:t>六、其他</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bookmarkStart w:id="1" w:name="_GoBack"/>
      <w:bookmarkEnd w:id="1"/>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0DAA"/>
    <w:multiLevelType w:val="singleLevel"/>
    <w:tmpl w:val="5F0C0D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M4NDE0NzM5YTVjNzE0NWYxNmE0ZmFlNDc2M2IzODYifQ=="/>
  </w:docVars>
  <w:rsids>
    <w:rsidRoot w:val="00AE4782"/>
    <w:rsid w:val="003770BD"/>
    <w:rsid w:val="005B2D5D"/>
    <w:rsid w:val="009320C9"/>
    <w:rsid w:val="00A81697"/>
    <w:rsid w:val="00A95AF6"/>
    <w:rsid w:val="00AE4782"/>
    <w:rsid w:val="00B93126"/>
    <w:rsid w:val="00C454D5"/>
    <w:rsid w:val="00D12C4E"/>
    <w:rsid w:val="00D74D4A"/>
    <w:rsid w:val="00DE6816"/>
    <w:rsid w:val="00F74C1F"/>
    <w:rsid w:val="01DB2C5D"/>
    <w:rsid w:val="04A52CD9"/>
    <w:rsid w:val="04ED779A"/>
    <w:rsid w:val="07386A5E"/>
    <w:rsid w:val="14D00AE6"/>
    <w:rsid w:val="17070736"/>
    <w:rsid w:val="1A390616"/>
    <w:rsid w:val="1F236784"/>
    <w:rsid w:val="23032681"/>
    <w:rsid w:val="3F386FE7"/>
    <w:rsid w:val="46E91D63"/>
    <w:rsid w:val="4D7A28CC"/>
    <w:rsid w:val="5E140BB8"/>
    <w:rsid w:val="711A6085"/>
    <w:rsid w:val="7249035C"/>
    <w:rsid w:val="78D84F7C"/>
    <w:rsid w:val="7A69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jc w:val="left"/>
    </w:pPr>
    <w:rPr>
      <w:rFonts w:ascii="Times New Roman" w:hAnsi="Times New Roman" w:eastAsia="宋体"/>
      <w:sz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List Paragraph"/>
    <w:basedOn w:val="1"/>
    <w:qFormat/>
    <w:uiPriority w:val="34"/>
    <w:pPr>
      <w:ind w:firstLine="420" w:firstLineChars="200"/>
    </w:pPr>
  </w:style>
  <w:style w:type="character" w:customStyle="1" w:styleId="11">
    <w:name w:val="页眉 Char"/>
    <w:basedOn w:val="9"/>
    <w:link w:val="5"/>
    <w:semiHidden/>
    <w:qFormat/>
    <w:uiPriority w:val="99"/>
    <w:rPr>
      <w:rFonts w:asciiTheme="minorHAnsi" w:hAnsiTheme="minorHAnsi" w:eastAsiaTheme="minorEastAsia" w:cstheme="minorBidi"/>
      <w:kern w:val="2"/>
      <w:sz w:val="18"/>
      <w:szCs w:val="18"/>
    </w:rPr>
  </w:style>
  <w:style w:type="character" w:customStyle="1" w:styleId="12">
    <w:name w:val="页脚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CA9CA-A129-4C4F-A45E-2A82B0D7077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963</Words>
  <Characters>1033</Characters>
  <Lines>2</Lines>
  <Paragraphs>1</Paragraphs>
  <TotalTime>1</TotalTime>
  <ScaleCrop>false</ScaleCrop>
  <LinksUpToDate>false</LinksUpToDate>
  <CharactersWithSpaces>1355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2019-11-11T06:21:00Z</dcterms:created>
  <dc:creator>zjcuser</dc:creator>
  <cp:lastModifiedBy>zyy-jkb</cp:lastModifiedBy>
  <cp:lastPrinted>2022-10-18T02:40:00Z</cp:lastPrinted>
  <dcterms:modified xsi:type="dcterms:W3CDTF">2022-10-31T09:05:33Z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1831522861034412913FE873A5C5E6DA</vt:lpwstr>
  </property>
</Properties>
</file>